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464" w:rsidRDefault="00284464" w:rsidP="00284464">
      <w:pPr>
        <w:rPr>
          <w:lang w:val="pt-PT"/>
        </w:rPr>
      </w:pPr>
      <w:r>
        <w:rPr>
          <w:lang w:val="pt-PT"/>
        </w:rPr>
        <w:t>LAS VEGAS</w:t>
      </w:r>
    </w:p>
    <w:p w:rsidR="00284464" w:rsidRDefault="00284464" w:rsidP="00284464">
      <w:pPr>
        <w:rPr>
          <w:lang w:val="pt-PT"/>
        </w:rPr>
      </w:pPr>
    </w:p>
    <w:p w:rsidR="00284464" w:rsidRDefault="00284464" w:rsidP="00284464">
      <w:pPr>
        <w:rPr>
          <w:lang w:val="pt-PT"/>
        </w:rPr>
      </w:pPr>
    </w:p>
    <w:p w:rsidR="00284464" w:rsidRDefault="00284464" w:rsidP="00284464">
      <w:pPr>
        <w:rPr>
          <w:lang w:val="pt-PT"/>
        </w:rPr>
      </w:pPr>
      <w:r>
        <w:rPr>
          <w:lang w:val="pt-PT"/>
        </w:rPr>
        <w:t>O formato da</w:t>
      </w:r>
      <w:r w:rsidRPr="00EB3AF7">
        <w:rPr>
          <w:lang w:val="pt-PT"/>
        </w:rPr>
        <w:t xml:space="preserve"> primeira edição </w:t>
      </w:r>
      <w:r w:rsidR="0050504F">
        <w:rPr>
          <w:lang w:val="pt-PT"/>
        </w:rPr>
        <w:t xml:space="preserve">do livro </w:t>
      </w:r>
      <w:proofErr w:type="spellStart"/>
      <w:r w:rsidRPr="00EB3AF7">
        <w:rPr>
          <w:i/>
          <w:lang w:val="pt-PT"/>
        </w:rPr>
        <w:t>Learning</w:t>
      </w:r>
      <w:proofErr w:type="spellEnd"/>
      <w:r w:rsidRPr="00EB3AF7">
        <w:rPr>
          <w:i/>
          <w:lang w:val="pt-PT"/>
        </w:rPr>
        <w:t xml:space="preserve"> </w:t>
      </w:r>
      <w:proofErr w:type="spellStart"/>
      <w:r w:rsidRPr="00EB3AF7">
        <w:rPr>
          <w:i/>
          <w:lang w:val="pt-PT"/>
        </w:rPr>
        <w:t>from</w:t>
      </w:r>
      <w:proofErr w:type="spellEnd"/>
      <w:r w:rsidRPr="00EB3AF7">
        <w:rPr>
          <w:i/>
          <w:lang w:val="pt-PT"/>
        </w:rPr>
        <w:t xml:space="preserve"> Las Vegas</w:t>
      </w:r>
      <w:r>
        <w:rPr>
          <w:lang w:val="pt-PT"/>
        </w:rPr>
        <w:t xml:space="preserve">, de 1972, foi profundamente transformado na edição de 1977. As diferentes sensibilidades patentes nas duas versões são um caminho para examinarmos como experiência, julgamento e criação de sentido têm uma relação crucial com as possibilidades e limitações de registar “sentidos” </w:t>
      </w:r>
      <w:r w:rsidR="0050504F">
        <w:rPr>
          <w:lang w:val="pt-PT"/>
        </w:rPr>
        <w:t>na configuração</w:t>
      </w:r>
      <w:r>
        <w:rPr>
          <w:lang w:val="pt-PT"/>
        </w:rPr>
        <w:t xml:space="preserve"> de um livro. A primeira edição foi desenhada por Muriel </w:t>
      </w:r>
      <w:proofErr w:type="spellStart"/>
      <w:r>
        <w:rPr>
          <w:lang w:val="pt-PT"/>
        </w:rPr>
        <w:t>Cooper</w:t>
      </w:r>
      <w:proofErr w:type="spellEnd"/>
      <w:r>
        <w:rPr>
          <w:lang w:val="pt-PT"/>
        </w:rPr>
        <w:t xml:space="preserve">, chefe do departamento de </w:t>
      </w:r>
      <w:proofErr w:type="gramStart"/>
      <w:r>
        <w:rPr>
          <w:lang w:val="pt-PT"/>
        </w:rPr>
        <w:t>design</w:t>
      </w:r>
      <w:proofErr w:type="gramEnd"/>
      <w:r>
        <w:rPr>
          <w:lang w:val="pt-PT"/>
        </w:rPr>
        <w:t xml:space="preserve"> do MIT </w:t>
      </w:r>
      <w:proofErr w:type="spellStart"/>
      <w:r>
        <w:rPr>
          <w:lang w:val="pt-PT"/>
        </w:rPr>
        <w:t>Press</w:t>
      </w:r>
      <w:proofErr w:type="spellEnd"/>
      <w:r>
        <w:rPr>
          <w:lang w:val="pt-PT"/>
        </w:rPr>
        <w:t xml:space="preserve"> e </w:t>
      </w:r>
      <w:proofErr w:type="spellStart"/>
      <w:r>
        <w:rPr>
          <w:lang w:val="pt-PT"/>
        </w:rPr>
        <w:t>co-fundadora</w:t>
      </w:r>
      <w:proofErr w:type="spellEnd"/>
      <w:r>
        <w:rPr>
          <w:lang w:val="pt-PT"/>
        </w:rPr>
        <w:t xml:space="preserve"> do </w:t>
      </w:r>
      <w:proofErr w:type="spellStart"/>
      <w:r w:rsidRPr="00EB3AF7">
        <w:rPr>
          <w:i/>
          <w:lang w:val="pt-PT"/>
        </w:rPr>
        <w:t>The</w:t>
      </w:r>
      <w:proofErr w:type="spellEnd"/>
      <w:r w:rsidRPr="00EB3AF7">
        <w:rPr>
          <w:lang w:val="pt-PT"/>
        </w:rPr>
        <w:t xml:space="preserve"> </w:t>
      </w:r>
      <w:proofErr w:type="spellStart"/>
      <w:r w:rsidRPr="00EB3AF7">
        <w:rPr>
          <w:i/>
          <w:lang w:val="pt-PT"/>
        </w:rPr>
        <w:t>Visible</w:t>
      </w:r>
      <w:proofErr w:type="spellEnd"/>
      <w:r w:rsidRPr="00EB3AF7">
        <w:rPr>
          <w:i/>
          <w:lang w:val="pt-PT"/>
        </w:rPr>
        <w:t xml:space="preserve"> </w:t>
      </w:r>
      <w:proofErr w:type="spellStart"/>
      <w:r w:rsidRPr="00EB3AF7">
        <w:rPr>
          <w:i/>
          <w:lang w:val="pt-PT"/>
        </w:rPr>
        <w:t>Language</w:t>
      </w:r>
      <w:proofErr w:type="spellEnd"/>
      <w:r w:rsidRPr="00EB3AF7">
        <w:rPr>
          <w:i/>
          <w:lang w:val="pt-PT"/>
        </w:rPr>
        <w:t xml:space="preserve"> Workshop</w:t>
      </w:r>
      <w:r>
        <w:rPr>
          <w:lang w:val="pt-PT"/>
        </w:rPr>
        <w:t xml:space="preserve">, </w:t>
      </w:r>
      <w:r w:rsidR="0050504F">
        <w:rPr>
          <w:lang w:val="pt-PT"/>
        </w:rPr>
        <w:t xml:space="preserve">no </w:t>
      </w:r>
      <w:r>
        <w:rPr>
          <w:lang w:val="pt-PT"/>
        </w:rPr>
        <w:t xml:space="preserve">contexto </w:t>
      </w:r>
      <w:r w:rsidR="0050504F">
        <w:rPr>
          <w:lang w:val="pt-PT"/>
        </w:rPr>
        <w:t xml:space="preserve">em que </w:t>
      </w:r>
      <w:r>
        <w:rPr>
          <w:lang w:val="pt-PT"/>
        </w:rPr>
        <w:t xml:space="preserve">a tipografia e o design entraram na era da computação. A segunda edição foi sobretudo desenhada por </w:t>
      </w:r>
      <w:r w:rsidRPr="00EB3AF7">
        <w:rPr>
          <w:lang w:val="pt-PT"/>
        </w:rPr>
        <w:t>Denise Scott Brown.</w:t>
      </w:r>
      <w:r>
        <w:rPr>
          <w:lang w:val="pt-PT"/>
        </w:rPr>
        <w:t xml:space="preserve"> </w:t>
      </w:r>
      <w:proofErr w:type="spellStart"/>
      <w:r>
        <w:rPr>
          <w:lang w:val="pt-PT"/>
        </w:rPr>
        <w:t>Cooper</w:t>
      </w:r>
      <w:proofErr w:type="spellEnd"/>
      <w:r>
        <w:rPr>
          <w:lang w:val="pt-PT"/>
        </w:rPr>
        <w:t xml:space="preserve"> concebeu um livro que procurava registar a condição urbana de Las Vegas, marcada pela sobrecarga sensorial e de informação. Seria expectável que o </w:t>
      </w:r>
      <w:proofErr w:type="gramStart"/>
      <w:r>
        <w:rPr>
          <w:lang w:val="pt-PT"/>
        </w:rPr>
        <w:t>design</w:t>
      </w:r>
      <w:proofErr w:type="gramEnd"/>
      <w:r>
        <w:rPr>
          <w:lang w:val="pt-PT"/>
        </w:rPr>
        <w:t xml:space="preserve"> coincidisse com as ideias de </w:t>
      </w:r>
      <w:proofErr w:type="spellStart"/>
      <w:r w:rsidRPr="00EB3AF7">
        <w:rPr>
          <w:lang w:val="pt-PT"/>
        </w:rPr>
        <w:t>Venturi</w:t>
      </w:r>
      <w:proofErr w:type="spellEnd"/>
      <w:r w:rsidRPr="00EB3AF7">
        <w:rPr>
          <w:lang w:val="pt-PT"/>
        </w:rPr>
        <w:t xml:space="preserve">, Scott Brown </w:t>
      </w:r>
      <w:r>
        <w:rPr>
          <w:lang w:val="pt-PT"/>
        </w:rPr>
        <w:t xml:space="preserve">e </w:t>
      </w:r>
      <w:proofErr w:type="spellStart"/>
      <w:r>
        <w:rPr>
          <w:lang w:val="pt-PT"/>
        </w:rPr>
        <w:t>Izenour</w:t>
      </w:r>
      <w:proofErr w:type="spellEnd"/>
      <w:r>
        <w:rPr>
          <w:lang w:val="pt-PT"/>
        </w:rPr>
        <w:t xml:space="preserve"> sobre as condições de visibilidade e experiência da cidade. Mas a estratégia de </w:t>
      </w:r>
      <w:proofErr w:type="spellStart"/>
      <w:r>
        <w:rPr>
          <w:lang w:val="pt-PT"/>
        </w:rPr>
        <w:t>Cooper</w:t>
      </w:r>
      <w:proofErr w:type="spellEnd"/>
      <w:r>
        <w:rPr>
          <w:lang w:val="pt-PT"/>
        </w:rPr>
        <w:t xml:space="preserve"> resultou mais em dissenso do que em interesses partilhados. Na análise dos diferentes formatos é visível como os meios são decisivos para uma certa compreensão da experiência</w:t>
      </w:r>
      <w:r w:rsidR="0050504F">
        <w:rPr>
          <w:lang w:val="pt-PT"/>
        </w:rPr>
        <w:t xml:space="preserve"> </w:t>
      </w:r>
      <w:proofErr w:type="spellStart"/>
      <w:r w:rsidR="0050504F">
        <w:rPr>
          <w:lang w:val="pt-PT"/>
        </w:rPr>
        <w:t>arquitectónica</w:t>
      </w:r>
      <w:proofErr w:type="spellEnd"/>
      <w:r>
        <w:rPr>
          <w:lang w:val="pt-PT"/>
        </w:rPr>
        <w:t>.</w:t>
      </w:r>
    </w:p>
    <w:p w:rsidR="00664DB5" w:rsidRDefault="00664DB5" w:rsidP="00664DB5">
      <w:pPr>
        <w:rPr>
          <w:lang w:val="pt-PT"/>
        </w:rPr>
      </w:pPr>
      <w:bookmarkStart w:id="0" w:name="_GoBack"/>
      <w:bookmarkEnd w:id="0"/>
    </w:p>
    <w:p w:rsidR="00664DB5" w:rsidRDefault="00664DB5" w:rsidP="00664DB5">
      <w:pPr>
        <w:rPr>
          <w:lang w:val="pt-PT"/>
        </w:rPr>
      </w:pPr>
    </w:p>
    <w:p w:rsidR="00664DB5" w:rsidRDefault="00664DB5" w:rsidP="00664DB5">
      <w:pPr>
        <w:rPr>
          <w:lang w:val="pt-PT"/>
        </w:rPr>
      </w:pPr>
    </w:p>
    <w:p w:rsidR="00664DB5" w:rsidRPr="00DF3696" w:rsidRDefault="00664DB5" w:rsidP="00664DB5">
      <w:r w:rsidRPr="00DF3696">
        <w:rPr>
          <w:lang w:val="pt-PT"/>
        </w:rPr>
        <w:t xml:space="preserve">Aron Vinegar é </w:t>
      </w:r>
      <w:proofErr w:type="spellStart"/>
      <w:r w:rsidRPr="00DF3696">
        <w:rPr>
          <w:lang w:val="pt-PT"/>
        </w:rPr>
        <w:t>director</w:t>
      </w:r>
      <w:proofErr w:type="spellEnd"/>
      <w:r w:rsidRPr="00DF3696">
        <w:rPr>
          <w:lang w:val="pt-PT"/>
        </w:rPr>
        <w:t xml:space="preserve"> do Programa para Hist</w:t>
      </w:r>
      <w:r>
        <w:rPr>
          <w:lang w:val="pt-PT"/>
        </w:rPr>
        <w:t xml:space="preserve">ória de Arte e Cultura Visual na Universidade de </w:t>
      </w:r>
      <w:proofErr w:type="spellStart"/>
      <w:r>
        <w:rPr>
          <w:lang w:val="pt-PT"/>
        </w:rPr>
        <w:t>Exeter</w:t>
      </w:r>
      <w:proofErr w:type="spellEnd"/>
      <w:r>
        <w:rPr>
          <w:lang w:val="pt-PT"/>
        </w:rPr>
        <w:t xml:space="preserve">. </w:t>
      </w:r>
      <w:r w:rsidRPr="00DF3696">
        <w:t xml:space="preserve">É </w:t>
      </w:r>
      <w:proofErr w:type="spellStart"/>
      <w:r w:rsidRPr="00DF3696">
        <w:t>autor</w:t>
      </w:r>
      <w:proofErr w:type="spellEnd"/>
      <w:r w:rsidRPr="00DF3696">
        <w:t xml:space="preserve"> do</w:t>
      </w:r>
      <w:r>
        <w:t>s</w:t>
      </w:r>
      <w:r w:rsidRPr="00DF3696">
        <w:t xml:space="preserve"> </w:t>
      </w:r>
      <w:proofErr w:type="spellStart"/>
      <w:r w:rsidRPr="00DF3696">
        <w:t>livro</w:t>
      </w:r>
      <w:r>
        <w:t>s</w:t>
      </w:r>
      <w:proofErr w:type="spellEnd"/>
      <w:r w:rsidRPr="00DF3696">
        <w:t xml:space="preserve"> </w:t>
      </w:r>
      <w:r w:rsidRPr="00D8054F">
        <w:rPr>
          <w:i/>
          <w:lang w:val="en-GB"/>
        </w:rPr>
        <w:t>I AM A MONUMENT: On Learning from Las Vegas</w:t>
      </w:r>
      <w:r w:rsidRPr="00D8054F">
        <w:rPr>
          <w:lang w:val="en-GB"/>
        </w:rPr>
        <w:t xml:space="preserve"> (MIT Press, 2008)</w:t>
      </w:r>
      <w:r>
        <w:rPr>
          <w:lang w:val="en-GB"/>
        </w:rPr>
        <w:t xml:space="preserve"> e </w:t>
      </w:r>
      <w:r w:rsidRPr="00FD0BCF">
        <w:rPr>
          <w:i/>
          <w:lang w:val="en-GB"/>
        </w:rPr>
        <w:t>Heidegger and the Work of Art History</w:t>
      </w:r>
      <w:r>
        <w:rPr>
          <w:lang w:val="en-GB"/>
        </w:rPr>
        <w:t xml:space="preserve"> (</w:t>
      </w:r>
      <w:proofErr w:type="spellStart"/>
      <w:r>
        <w:rPr>
          <w:lang w:val="en-GB"/>
        </w:rPr>
        <w:t>Ashgate</w:t>
      </w:r>
      <w:proofErr w:type="spellEnd"/>
      <w:r>
        <w:rPr>
          <w:lang w:val="en-GB"/>
        </w:rPr>
        <w:t xml:space="preserve"> Press, 2014) e co-editor de </w:t>
      </w:r>
      <w:proofErr w:type="gramStart"/>
      <w:r w:rsidRPr="00D8054F">
        <w:rPr>
          <w:i/>
          <w:lang w:val="en-GB"/>
        </w:rPr>
        <w:t>Relearning</w:t>
      </w:r>
      <w:proofErr w:type="gramEnd"/>
      <w:r w:rsidRPr="00D8054F">
        <w:rPr>
          <w:i/>
          <w:lang w:val="en-GB"/>
        </w:rPr>
        <w:t xml:space="preserve"> from Las Vegas </w:t>
      </w:r>
      <w:r w:rsidRPr="00D8054F">
        <w:rPr>
          <w:lang w:val="en-GB"/>
        </w:rPr>
        <w:t>(University of Minnesota Press, 2009)</w:t>
      </w:r>
      <w:r>
        <w:rPr>
          <w:lang w:val="en-GB"/>
        </w:rPr>
        <w:t xml:space="preserve">. </w:t>
      </w:r>
      <w:proofErr w:type="spellStart"/>
      <w:r>
        <w:rPr>
          <w:lang w:val="en-GB"/>
        </w:rPr>
        <w:t>Está</w:t>
      </w:r>
      <w:proofErr w:type="spellEnd"/>
      <w:r>
        <w:rPr>
          <w:lang w:val="en-GB"/>
        </w:rPr>
        <w:t xml:space="preserve"> a </w:t>
      </w:r>
      <w:proofErr w:type="spellStart"/>
      <w:r>
        <w:rPr>
          <w:lang w:val="en-GB"/>
        </w:rPr>
        <w:t>finalizar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dois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livros</w:t>
      </w:r>
      <w:proofErr w:type="spellEnd"/>
      <w:r>
        <w:rPr>
          <w:lang w:val="en-GB"/>
        </w:rPr>
        <w:t xml:space="preserve"> </w:t>
      </w:r>
      <w:r w:rsidRPr="00C42EEA">
        <w:rPr>
          <w:i/>
          <w:lang w:val="en-GB"/>
        </w:rPr>
        <w:t>Ontological Indifference and Contemporary Photography</w:t>
      </w:r>
      <w:r>
        <w:rPr>
          <w:i/>
          <w:lang w:val="en-GB"/>
        </w:rPr>
        <w:t xml:space="preserve"> </w:t>
      </w:r>
      <w:r>
        <w:rPr>
          <w:lang w:val="en-GB"/>
        </w:rPr>
        <w:t xml:space="preserve">e </w:t>
      </w:r>
      <w:r>
        <w:rPr>
          <w:i/>
          <w:lang w:val="en-GB"/>
        </w:rPr>
        <w:t>Habitations: On Bodily Habit and Architecture</w:t>
      </w:r>
      <w:r w:rsidRPr="00DF3696">
        <w:rPr>
          <w:lang w:val="en-GB"/>
        </w:rPr>
        <w:t>.</w:t>
      </w:r>
    </w:p>
    <w:p w:rsidR="00CB789E" w:rsidRDefault="00CB789E"/>
    <w:sectPr w:rsidR="00CB78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DB5"/>
    <w:rsid w:val="00284464"/>
    <w:rsid w:val="0050504F"/>
    <w:rsid w:val="00664DB5"/>
    <w:rsid w:val="00CB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62ADE5-E701-4BFC-B2D3-248AC45C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254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 Tavares</dc:creator>
  <cp:keywords/>
  <dc:description/>
  <cp:lastModifiedBy>André Tavares</cp:lastModifiedBy>
  <cp:revision>2</cp:revision>
  <dcterms:created xsi:type="dcterms:W3CDTF">2014-08-25T21:09:00Z</dcterms:created>
  <dcterms:modified xsi:type="dcterms:W3CDTF">2014-08-25T21:42:00Z</dcterms:modified>
</cp:coreProperties>
</file>